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仿宋_GB2312" w:hAnsi="仿宋_GB2312" w:eastAsia="仿宋_GB2312"/>
          <w:sz w:val="24"/>
        </w:rPr>
      </w:pPr>
      <w:r>
        <w:rPr>
          <w:rFonts w:hint="eastAsia" w:ascii="仿宋_GB2312" w:hAnsi="仿宋_GB2312" w:eastAsia="仿宋_GB2312"/>
          <w:b/>
          <w:sz w:val="24"/>
        </w:rPr>
        <w:t>一、</w:t>
      </w:r>
      <w:r>
        <w:rPr>
          <w:rFonts w:ascii="仿宋_GB2312" w:hAnsi="仿宋_GB2312" w:eastAsia="仿宋_GB2312"/>
          <w:b/>
          <w:sz w:val="24"/>
        </w:rPr>
        <w:t>项目名称</w:t>
      </w:r>
      <w:r>
        <w:rPr>
          <w:rFonts w:hint="eastAsia" w:ascii="仿宋_GB2312" w:hAnsi="仿宋_GB2312" w:eastAsia="仿宋_GB2312"/>
          <w:b/>
          <w:sz w:val="24"/>
        </w:rPr>
        <w:t>：</w:t>
      </w:r>
      <w:r>
        <w:rPr>
          <w:rFonts w:hint="eastAsia" w:ascii="仿宋_GB2312" w:hAnsi="仿宋_GB2312" w:eastAsia="仿宋_GB2312"/>
          <w:sz w:val="24"/>
        </w:rPr>
        <w:t>厦门市城中村打造“四个社区”工作指引</w:t>
      </w:r>
    </w:p>
    <w:p>
      <w:pPr>
        <w:spacing w:line="360" w:lineRule="auto"/>
        <w:rPr>
          <w:rFonts w:hint="eastAsia" w:ascii="仿宋_GB2312" w:hAnsi="仿宋_GB2312" w:eastAsia="仿宋_GB2312"/>
          <w:sz w:val="24"/>
        </w:rPr>
      </w:pPr>
      <w:r>
        <w:rPr>
          <w:rFonts w:hint="eastAsia" w:ascii="仿宋_GB2312" w:hAnsi="仿宋_GB2312" w:eastAsia="仿宋_GB2312"/>
          <w:b/>
          <w:sz w:val="24"/>
        </w:rPr>
        <w:t>二、</w:t>
      </w:r>
      <w:r>
        <w:rPr>
          <w:rFonts w:ascii="仿宋_GB2312" w:hAnsi="仿宋_GB2312" w:eastAsia="仿宋_GB2312"/>
          <w:b/>
          <w:sz w:val="24"/>
        </w:rPr>
        <w:t>项目类型</w:t>
      </w:r>
      <w:r>
        <w:rPr>
          <w:rFonts w:hint="eastAsia" w:ascii="仿宋_GB2312" w:hAnsi="仿宋_GB2312" w:eastAsia="仿宋_GB2312"/>
          <w:b/>
          <w:sz w:val="24"/>
        </w:rPr>
        <w:t>：</w:t>
      </w:r>
      <w:r>
        <w:rPr>
          <w:rFonts w:hint="eastAsia" w:ascii="仿宋_GB2312" w:hAnsi="仿宋_GB2312" w:eastAsia="仿宋_GB2312"/>
          <w:sz w:val="24"/>
        </w:rPr>
        <w:t>规划管理创新实践</w:t>
      </w:r>
    </w:p>
    <w:p>
      <w:pPr>
        <w:spacing w:line="360" w:lineRule="auto"/>
        <w:rPr>
          <w:rFonts w:hint="eastAsia" w:ascii="仿宋_GB2312" w:hAnsi="仿宋_GB2312" w:eastAsia="仿宋_GB2312"/>
          <w:sz w:val="24"/>
          <w:lang w:eastAsia="zh-CN"/>
        </w:rPr>
      </w:pPr>
      <w:r>
        <w:rPr>
          <w:rFonts w:hint="eastAsia" w:ascii="仿宋_GB2312" w:hAnsi="仿宋_GB2312" w:eastAsia="仿宋_GB2312"/>
          <w:b/>
          <w:sz w:val="24"/>
        </w:rPr>
        <w:t>三、</w:t>
      </w:r>
      <w:r>
        <w:rPr>
          <w:rFonts w:ascii="仿宋_GB2312" w:hAnsi="仿宋_GB2312" w:eastAsia="仿宋_GB2312"/>
          <w:b/>
          <w:sz w:val="24"/>
        </w:rPr>
        <w:t>完成单位</w:t>
      </w:r>
      <w:r>
        <w:rPr>
          <w:rFonts w:hint="eastAsia" w:ascii="仿宋_GB2312" w:hAnsi="仿宋_GB2312" w:eastAsia="仿宋_GB2312"/>
          <w:b/>
          <w:sz w:val="24"/>
        </w:rPr>
        <w:t>：</w:t>
      </w:r>
      <w:r>
        <w:rPr>
          <w:rFonts w:ascii="仿宋_GB2312" w:hAnsi="仿宋_GB2312" w:eastAsia="仿宋_GB2312"/>
          <w:sz w:val="24"/>
        </w:rPr>
        <w:t>厦门大学规划设计研究院有限公司</w:t>
      </w:r>
      <w:r>
        <w:rPr>
          <w:rFonts w:hint="eastAsia" w:ascii="仿宋_GB2312" w:hAnsi="仿宋_GB2312" w:eastAsia="仿宋_GB2312"/>
          <w:sz w:val="24"/>
        </w:rPr>
        <w:t>、厦门大学</w:t>
      </w:r>
      <w:r>
        <w:rPr>
          <w:rFonts w:hint="eastAsia" w:ascii="仿宋_GB2312" w:hAnsi="仿宋_GB2312" w:eastAsia="仿宋_GB2312"/>
          <w:sz w:val="24"/>
          <w:lang w:eastAsia="zh-CN"/>
        </w:rPr>
        <w:t>、厦门市城中村现代化治理工作领导小组办公室</w:t>
      </w:r>
      <w:bookmarkStart w:id="0" w:name="_GoBack"/>
      <w:bookmarkEnd w:id="0"/>
    </w:p>
    <w:p>
      <w:pPr>
        <w:spacing w:line="360" w:lineRule="auto"/>
        <w:rPr>
          <w:rFonts w:hint="eastAsia" w:ascii="仿宋_GB2312" w:hAnsi="仿宋_GB2312" w:eastAsia="仿宋_GB2312"/>
          <w:b/>
          <w:sz w:val="24"/>
        </w:rPr>
      </w:pPr>
      <w:r>
        <w:rPr>
          <w:rFonts w:hint="eastAsia" w:ascii="仿宋_GB2312" w:hAnsi="仿宋_GB2312" w:eastAsia="仿宋_GB2312"/>
          <w:b/>
          <w:sz w:val="24"/>
        </w:rPr>
        <w:t>四、</w:t>
      </w:r>
      <w:r>
        <w:rPr>
          <w:rFonts w:ascii="仿宋_GB2312" w:hAnsi="仿宋_GB2312" w:eastAsia="仿宋_GB2312"/>
          <w:b/>
          <w:sz w:val="24"/>
        </w:rPr>
        <w:t>实施情况及成效</w:t>
      </w:r>
      <w:r>
        <w:rPr>
          <w:rFonts w:hint="eastAsia" w:ascii="仿宋_GB2312" w:hAnsi="仿宋_GB2312" w:eastAsia="仿宋_GB2312"/>
          <w:b/>
          <w:sz w:val="24"/>
        </w:rPr>
        <w:t>：</w:t>
      </w:r>
    </w:p>
    <w:p>
      <w:pPr>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rPr>
        <w:t>1、项目成果已由厦门市城中村现代化治理工作领导小组正式印发，并启动全市试行工作。该成果为厦门市城中村现代化治理工作提供了系统性、规范性的顶层指导依据，统一了治理标准、明确了实施路径。</w:t>
      </w:r>
    </w:p>
    <w:p>
      <w:pPr>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rPr>
        <w:t>2、项目形成了从顶层设计、实施路径到技术指引较为完备的治理架构，在工作指引的顶层设计下，形成了多个工作政策文件，共同实现了全市一盘棋的“体系化塑造”。</w:t>
      </w:r>
    </w:p>
    <w:p>
      <w:pPr>
        <w:spacing w:line="360" w:lineRule="auto"/>
        <w:ind w:firstLine="480" w:firstLineChars="200"/>
        <w:rPr>
          <w:rFonts w:hint="eastAsia" w:ascii="仿宋_GB2312" w:hAnsi="仿宋_GB2312" w:eastAsia="仿宋_GB2312"/>
          <w:sz w:val="24"/>
        </w:rPr>
      </w:pPr>
      <w:r>
        <w:rPr>
          <w:rFonts w:hint="eastAsia" w:ascii="仿宋_GB2312" w:hAnsi="仿宋_GB2312" w:eastAsia="仿宋_GB2312"/>
          <w:sz w:val="24"/>
        </w:rPr>
        <w:t>3、项目成果已全面应用于2023年-2025年厦门市108个城中村治理工作，形成“前期培训指导-中期评审考核-后期经验总结”的全周期支撑机制。依托项目成果系统提炼厦门市城中村现代化治理经验，通过专题宣传、经验分享等形式在全市乃至更大范围内推广，充分发挥厦门市城中村现代化治理示范引领作用。</w:t>
      </w:r>
    </w:p>
    <w:p>
      <w:pPr>
        <w:spacing w:line="360" w:lineRule="auto"/>
        <w:rPr>
          <w:rFonts w:hint="eastAsia" w:ascii="仿宋_GB2312" w:hAnsi="仿宋_GB2312" w:eastAsia="仿宋_GB2312"/>
          <w:b/>
          <w:sz w:val="24"/>
        </w:rPr>
      </w:pPr>
      <w:r>
        <w:rPr>
          <w:rFonts w:hint="eastAsia" w:ascii="仿宋_GB2312" w:hAnsi="仿宋_GB2312" w:eastAsia="仿宋_GB2312"/>
          <w:b/>
          <w:sz w:val="24"/>
        </w:rPr>
        <w:t>五、核心优势</w:t>
      </w:r>
    </w:p>
    <w:p>
      <w:pPr>
        <w:spacing w:line="360" w:lineRule="auto"/>
        <w:ind w:firstLine="482" w:firstLineChars="200"/>
        <w:rPr>
          <w:rFonts w:hint="eastAsia" w:ascii="仿宋_GB2312" w:hAnsi="仿宋_GB2312" w:eastAsia="仿宋_GB2312"/>
          <w:sz w:val="24"/>
        </w:rPr>
      </w:pPr>
      <w:r>
        <w:rPr>
          <w:rFonts w:hint="eastAsia" w:ascii="仿宋_GB2312" w:hAnsi="仿宋_GB2312" w:eastAsia="仿宋_GB2312"/>
          <w:b/>
          <w:bCs/>
          <w:sz w:val="24"/>
        </w:rPr>
        <w:t>1、从“单一更新”到“系统治理”的理念创新。</w:t>
      </w:r>
      <w:r>
        <w:rPr>
          <w:rFonts w:hint="eastAsia" w:ascii="仿宋_GB2312" w:hAnsi="仿宋_GB2312" w:eastAsia="仿宋_GB2312"/>
          <w:sz w:val="24"/>
        </w:rPr>
        <w:t>传统城中村改造多聚焦空间整治单一维度，存在治理碎片化、成效短期化问题。本次项目首次以“宜居、宜业、智慧、和谐”为核心，首创“空间-产业-管理-社会”四个现代化的系统治理理念，实现城中村治理逻辑的根本性转变。</w:t>
      </w:r>
    </w:p>
    <w:p>
      <w:pPr>
        <w:spacing w:line="360" w:lineRule="auto"/>
        <w:ind w:firstLine="482" w:firstLineChars="200"/>
        <w:rPr>
          <w:rFonts w:hint="eastAsia" w:ascii="仿宋_GB2312" w:hAnsi="仿宋_GB2312" w:eastAsia="仿宋_GB2312"/>
          <w:sz w:val="24"/>
        </w:rPr>
      </w:pPr>
      <w:r>
        <w:rPr>
          <w:rFonts w:hint="eastAsia" w:ascii="仿宋_GB2312" w:hAnsi="仿宋_GB2312" w:eastAsia="仿宋_GB2312"/>
          <w:b/>
          <w:bCs/>
          <w:sz w:val="24"/>
        </w:rPr>
        <w:t>2、从“千村一面”到“因村施策”的实践创新。</w:t>
      </w:r>
      <w:r>
        <w:rPr>
          <w:rFonts w:hint="eastAsia" w:ascii="仿宋_GB2312" w:hAnsi="仿宋_GB2312" w:eastAsia="仿宋_GB2312"/>
          <w:sz w:val="24"/>
        </w:rPr>
        <w:t>传统城中村改造常采用“一刀切”模式，忽视各村资源禀赋、人口结构、产业差异。本次项目实践案例全面摸查城中村现状，基于实际情况按照基础保障类和优化提升类的改造菜单选项选择适宜改造的路径，同时充分挖掘村庄特色因村施策，营造魅力多元城中村典范。</w:t>
      </w:r>
    </w:p>
    <w:p>
      <w:pPr>
        <w:spacing w:line="360" w:lineRule="auto"/>
        <w:ind w:firstLine="482" w:firstLineChars="200"/>
        <w:rPr>
          <w:rFonts w:hint="eastAsia" w:ascii="仿宋_GB2312" w:hAnsi="仿宋_GB2312" w:eastAsia="仿宋_GB2312"/>
          <w:sz w:val="24"/>
        </w:rPr>
      </w:pPr>
      <w:r>
        <w:rPr>
          <w:rFonts w:hint="eastAsia" w:ascii="仿宋_GB2312" w:hAnsi="仿宋_GB2312" w:eastAsia="仿宋_GB2312"/>
          <w:b/>
          <w:bCs/>
          <w:sz w:val="24"/>
        </w:rPr>
        <w:t>3、从“外部输血”到“内生造血”的机制创新。</w:t>
      </w:r>
      <w:r>
        <w:rPr>
          <w:rFonts w:hint="eastAsia" w:ascii="仿宋_GB2312" w:hAnsi="仿宋_GB2312" w:eastAsia="仿宋_GB2312"/>
          <w:sz w:val="24"/>
        </w:rPr>
        <w:t>传统城中村改造多依赖政府财政投入，存在政府包办的“输血式”困境。本次项目鼓励在投入端发挥村集体经济统筹和社会资本参与力量，在运营端通过优化主导产业、完善产业配套建立造血机制，在收益端创新村民共享发展成果机制。同时，项目后续推进城中村大物业工作导则，为健全城中村管理服务体系，降低运维管理成本提供治理支撑。</w:t>
      </w:r>
    </w:p>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4D4"/>
    <w:rsid w:val="00112377"/>
    <w:rsid w:val="00115409"/>
    <w:rsid w:val="002448EF"/>
    <w:rsid w:val="002A378E"/>
    <w:rsid w:val="003C0215"/>
    <w:rsid w:val="003C12EE"/>
    <w:rsid w:val="005212D6"/>
    <w:rsid w:val="005C6637"/>
    <w:rsid w:val="005E162F"/>
    <w:rsid w:val="006B1115"/>
    <w:rsid w:val="0071044F"/>
    <w:rsid w:val="00777C22"/>
    <w:rsid w:val="008E460A"/>
    <w:rsid w:val="009101A6"/>
    <w:rsid w:val="009D1DFF"/>
    <w:rsid w:val="009D617A"/>
    <w:rsid w:val="009F5900"/>
    <w:rsid w:val="00A34F50"/>
    <w:rsid w:val="00B303D4"/>
    <w:rsid w:val="00B73503"/>
    <w:rsid w:val="00BF7D96"/>
    <w:rsid w:val="00C54E46"/>
    <w:rsid w:val="00CF7F6C"/>
    <w:rsid w:val="00D314D4"/>
    <w:rsid w:val="00D46A72"/>
    <w:rsid w:val="00D72150"/>
    <w:rsid w:val="00DA4439"/>
    <w:rsid w:val="00F16475"/>
    <w:rsid w:val="00FC0F81"/>
    <w:rsid w:val="12802B6B"/>
    <w:rsid w:val="42D90F98"/>
    <w:rsid w:val="557B7CE8"/>
    <w:rsid w:val="57847F13"/>
    <w:rsid w:val="5C6E343A"/>
    <w:rsid w:val="6A9D269A"/>
    <w:rsid w:val="7EE00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125</Words>
  <Characters>718</Characters>
  <Lines>5</Lines>
  <Paragraphs>1</Paragraphs>
  <TotalTime>6</TotalTime>
  <ScaleCrop>false</ScaleCrop>
  <LinksUpToDate>false</LinksUpToDate>
  <CharactersWithSpaces>842</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2025-10-14T12:00:00Z</dcterms:created>
  <dc:creator>徐铭晖</dc:creator>
  <cp:lastModifiedBy>一｜</cp:lastModifiedBy>
  <dcterms:modified xsi:type="dcterms:W3CDTF">2025-10-15T10:23:28Z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eyJoZGlkIjoiZWRmNWJhZThkOWJlOTYwMzM1MmM3N2I4MGViNmQ2NDkiLCJ1c2VySWQiOiIxNDU4NTczODE3In0=</vt:lpwstr>
  </property>
  <property fmtid="{D5CDD505-2E9C-101B-9397-08002B2CF9AE}" pid="3" name="KSOProductBuildVer">
    <vt:lpwstr>2052-11.1.0.9021</vt:lpwstr>
  </property>
  <property fmtid="{D5CDD505-2E9C-101B-9397-08002B2CF9AE}" pid="4" name="ICV">
    <vt:lpwstr>0ABF435F598147F199CEDA40CC849103_13</vt:lpwstr>
  </property>
</Properties>
</file>